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23" w:rsidRPr="00A01E23" w:rsidRDefault="00A01E23" w:rsidP="00A01E2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333333"/>
          <w:kern w:val="36"/>
          <w:sz w:val="30"/>
          <w:szCs w:val="30"/>
          <w:bdr w:val="none" w:sz="0" w:space="0" w:color="auto" w:frame="1"/>
        </w:rPr>
      </w:pPr>
      <w:bookmarkStart w:id="0" w:name="_GoBack"/>
      <w:r w:rsidRPr="00A01E23">
        <w:rPr>
          <w:rFonts w:ascii="Trebuchet MS" w:eastAsia="Times New Roman" w:hAnsi="Trebuchet MS" w:cs="Times New Roman"/>
          <w:color w:val="333333"/>
          <w:kern w:val="36"/>
          <w:sz w:val="30"/>
          <w:szCs w:val="30"/>
          <w:bdr w:val="none" w:sz="0" w:space="0" w:color="auto" w:frame="1"/>
        </w:rPr>
        <w:t xml:space="preserve">ЈАВНИ ПОЗИВ ЗА УЧЕШЋЕ НА КОНКУРСУ за суфинансирање проjеката производње медијских садржаја из области jавног информисања на територији општине Бољевац у 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kern w:val="36"/>
          <w:sz w:val="30"/>
          <w:szCs w:val="30"/>
          <w:bdr w:val="none" w:sz="0" w:space="0" w:color="auto" w:frame="1"/>
        </w:rPr>
        <w:t>години</w:t>
      </w:r>
      <w:proofErr w:type="gramEnd"/>
      <w:r w:rsidRPr="00A01E23">
        <w:rPr>
          <w:rFonts w:ascii="Trebuchet MS" w:eastAsia="Times New Roman" w:hAnsi="Trebuchet MS" w:cs="Times New Roman"/>
          <w:color w:val="333333"/>
          <w:kern w:val="36"/>
          <w:sz w:val="30"/>
          <w:szCs w:val="30"/>
          <w:bdr w:val="none" w:sz="0" w:space="0" w:color="auto" w:frame="1"/>
        </w:rPr>
        <w:t xml:space="preserve"> I НАМЕНА СРЕДСТАВА И ИЗНОС</w:t>
      </w:r>
      <w:bookmarkEnd w:id="0"/>
    </w:p>
    <w:p w:rsidR="00A01E23" w:rsidRPr="00A01E23" w:rsidRDefault="00A01E23" w:rsidP="00A01E2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333333"/>
          <w:kern w:val="36"/>
          <w:sz w:val="42"/>
          <w:szCs w:val="42"/>
        </w:rPr>
      </w:pPr>
    </w:p>
    <w:p w:rsidR="00A01E23" w:rsidRPr="00A01E23" w:rsidRDefault="00A01E23" w:rsidP="00A01E23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88888"/>
          <w:sz w:val="17"/>
          <w:szCs w:val="17"/>
        </w:rPr>
      </w:pPr>
      <w:proofErr w:type="gramStart"/>
      <w:r w:rsidRPr="00A01E23">
        <w:rPr>
          <w:rFonts w:ascii="Trebuchet MS" w:eastAsia="Times New Roman" w:hAnsi="Trebuchet MS" w:cs="Times New Roman"/>
          <w:color w:val="888888"/>
          <w:sz w:val="17"/>
          <w:szCs w:val="17"/>
          <w:bdr w:val="none" w:sz="0" w:space="0" w:color="auto" w:frame="1"/>
        </w:rPr>
        <w:t>март</w:t>
      </w:r>
      <w:proofErr w:type="gramEnd"/>
      <w:r w:rsidRPr="00A01E23">
        <w:rPr>
          <w:rFonts w:ascii="Trebuchet MS" w:eastAsia="Times New Roman" w:hAnsi="Trebuchet MS" w:cs="Times New Roman"/>
          <w:color w:val="888888"/>
          <w:sz w:val="17"/>
          <w:szCs w:val="17"/>
          <w:bdr w:val="none" w:sz="0" w:space="0" w:color="auto" w:frame="1"/>
        </w:rPr>
        <w:t xml:space="preserve"> 7, 2022</w:t>
      </w:r>
      <w:r w:rsidRPr="00A01E23">
        <w:rPr>
          <w:rFonts w:ascii="Trebuchet MS" w:eastAsia="Times New Roman" w:hAnsi="Trebuchet MS" w:cs="Times New Roman"/>
          <w:color w:val="888888"/>
          <w:sz w:val="17"/>
          <w:szCs w:val="17"/>
        </w:rPr>
        <w:t> </w:t>
      </w:r>
      <w:hyperlink r:id="rId4" w:history="1">
        <w:r w:rsidRPr="00A01E23">
          <w:rPr>
            <w:rFonts w:ascii="Trebuchet MS" w:eastAsia="Times New Roman" w:hAnsi="Trebuchet MS" w:cs="Times New Roman"/>
            <w:color w:val="888888"/>
            <w:sz w:val="17"/>
            <w:szCs w:val="17"/>
            <w:bdr w:val="none" w:sz="0" w:space="0" w:color="auto" w:frame="1"/>
          </w:rPr>
          <w:t>Вести</w:t>
        </w:r>
      </w:hyperlink>
      <w:r w:rsidRPr="00A01E23">
        <w:rPr>
          <w:rFonts w:ascii="Trebuchet MS" w:eastAsia="Times New Roman" w:hAnsi="Trebuchet MS" w:cs="Times New Roman"/>
          <w:color w:val="888888"/>
          <w:sz w:val="17"/>
          <w:szCs w:val="17"/>
          <w:bdr w:val="none" w:sz="0" w:space="0" w:color="auto" w:frame="1"/>
        </w:rPr>
        <w:t>, </w:t>
      </w:r>
      <w:hyperlink r:id="rId5" w:history="1">
        <w:r w:rsidRPr="00A01E23">
          <w:rPr>
            <w:rFonts w:ascii="Trebuchet MS" w:eastAsia="Times New Roman" w:hAnsi="Trebuchet MS" w:cs="Times New Roman"/>
            <w:color w:val="888888"/>
            <w:sz w:val="17"/>
            <w:szCs w:val="17"/>
            <w:bdr w:val="none" w:sz="0" w:space="0" w:color="auto" w:frame="1"/>
          </w:rPr>
          <w:t>Инфо вести</w:t>
        </w:r>
      </w:hyperlink>
      <w:r w:rsidRPr="00A01E23">
        <w:rPr>
          <w:rFonts w:ascii="Trebuchet MS" w:eastAsia="Times New Roman" w:hAnsi="Trebuchet MS" w:cs="Times New Roman"/>
          <w:color w:val="888888"/>
          <w:sz w:val="17"/>
          <w:szCs w:val="17"/>
        </w:rPr>
        <w:t> </w:t>
      </w:r>
      <w:hyperlink r:id="rId6" w:anchor="respond" w:history="1">
        <w:r w:rsidRPr="00A01E23">
          <w:rPr>
            <w:rFonts w:ascii="Trebuchet MS" w:eastAsia="Times New Roman" w:hAnsi="Trebuchet MS" w:cs="Times New Roman"/>
            <w:color w:val="888888"/>
            <w:sz w:val="17"/>
            <w:szCs w:val="17"/>
            <w:bdr w:val="none" w:sz="0" w:space="0" w:color="auto" w:frame="1"/>
          </w:rPr>
          <w:t>Оставите коментар</w:t>
        </w:r>
      </w:hyperlink>
      <w:r w:rsidRPr="00A01E23">
        <w:rPr>
          <w:rFonts w:ascii="Trebuchet MS" w:eastAsia="Times New Roman" w:hAnsi="Trebuchet MS" w:cs="Times New Roman"/>
          <w:color w:val="888888"/>
          <w:sz w:val="17"/>
          <w:szCs w:val="17"/>
        </w:rPr>
        <w:t> </w:t>
      </w:r>
      <w:r w:rsidRPr="00A01E23">
        <w:rPr>
          <w:rFonts w:ascii="Trebuchet MS" w:eastAsia="Times New Roman" w:hAnsi="Trebuchet MS" w:cs="Times New Roman"/>
          <w:color w:val="888888"/>
          <w:sz w:val="17"/>
          <w:szCs w:val="17"/>
          <w:bdr w:val="none" w:sz="0" w:space="0" w:color="auto" w:frame="1"/>
        </w:rPr>
        <w:t>52 Прегледа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На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основу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чл. 18.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19. Закона о јавном информисању и медијима („Службени гласник РС”, бр. 83/14, 58/15 и 12/16 – аутентично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тумачење), Решења Комисије за контролу државне помоћи, број 401-00-00069/2022—01/2, од 11.02. 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,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Члана 8.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став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1.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2. Закона о контроли државне помоћи („Сл. гласник РС“, бр. 73/19), Уредбе о условима и критеријумима усклађености државне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помоћи у области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јавног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информисања (”Службени гласник РС”, бр. 9/22), Правилника о суфинансирању пројеката за остваривање јавног интереса у области јавног информисања („Службени гласник РС“, број: 16/16 и 8/17), Одлуке о буџету Општине Бољевац за 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годину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, ( Сл. лист Општине Бољевац бр. 42/21) и Одлуке о расписивању Конкурса за суфинансирање пројеката производње медијских садржаја из области јавног информисања на територији општине Бољевац у 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број: 06-15/2022-II/7.1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од 02. 03. 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године</w:t>
      </w:r>
      <w:proofErr w:type="gramEnd"/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ОПШТИНСКО ВЕЋЕ ОПШТИНЕ БОЉЕВАЦ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р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а с п и с у ј е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ЈАВНИ ПОЗИВ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ЗА УЧЕШЋЕ НА КОНКУРСУ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br/>
        <w:t>за суфинансирање проjеката производње медијских садржаја из области jавног информисања на територији општине Бољевац у 2022.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години</w:t>
      </w:r>
      <w:proofErr w:type="gramEnd"/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I НАМЕНА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СРЕДСТАВА И ИЗНОС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Бољевац; подизању квалитета информисања особа са инвалидитетом и припадника других мањинских група; заштити и развоју људских права и демократије;  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Бољевац за информацијама и садржајима из свих области живота, без дискриминације.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Средства опредељења Одлуком о расписивању конкурса за суфинансирање пројеката производње медијских садржаја из области jавног информисања на територији гр општине Бољевац у 2022.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, износе 2.375.000,00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динара.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Најмањи износ средстава који се може одобрити по пројекту износи 70.000,00 динара, а највећи износ средстава по пројекту је 700.000,00 динара.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lastRenderedPageBreak/>
        <w:t>У складу са Уредбом о условима и критеријумима усклађености државне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помоћи у области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јавногинформисања 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 de minimis 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децембар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2021.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Оправдани трошкови су трошкови који су настали у вези са израдом медијског садржаја, а нарочито: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процењени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бруто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трошкови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зарада и накнадаангажованих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лица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на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производњи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медијских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садржаја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2. 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трошкови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3. 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трошак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употребе сопствене имовине (амортизација);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4. 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трошкови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5. 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трошкови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Оправданим трошковима, не сматрају се трошкови издаваштва, трошкови дистрибуције и трошкови промоције.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У складу са чланом 16.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став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1.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тачка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4. Законa о јавном информисању и медијима („Сл. гласник РС“, бр. 83/14, 58/15 и 12/16 – аутентично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тумачење, у даљем тексту: Закон) и Уредбом,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 и Уредбом.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lastRenderedPageBreak/>
        <w:t>смеју користити за друге намене, а нарочито производњу других медијских садржаја (преливање средстава).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II  ПРАВО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УЧЕШЋА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На конкурсу може учествовати: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издавач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медија чији медиј је уписан у Регистар медија у Агенцији за привредне регистре, уколико се медијски садржај емитује/дистрибуира на територији општине Бољевац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2. 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правно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лице, односно предузетник који се бави производњом медијских садржаја и који приложи доказ да ће суфинансиран медијски садржај бити реализован путем медија који је уписан у Регистар медија и емитује се на територији општине Бољевац.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Право учешћа на Конкурсу немају издавачи који се финансирају из јавних прихода.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трошилa.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Учесник Конкурса може конкурисати само са jедним проjектом.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Издавач више медија има право учешћа на Конкурсу с једним пројектом за сваки медиј.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                                                      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III КРИТЕРИЈУМИ ЗА ОЦЕНУ ПРОЈЕКАТА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Критеријуми на основу којих ће се оцењивати пројекти пријављени на конкурс су: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1.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Мера  у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којој је предложена пројектна активност подобна да оствари јавни  интерес у области јавног информисања: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1.1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.  Значај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пројекта са становишта: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остваривања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јавног интереса у области јавног информисања;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остваривање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намене конкурса;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усклађености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пројекта са реалним проблемима, потребама и приоритетима циљних група;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идентификованих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 јасно дефинисаних потреба циљних група;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заступљености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иновативног елемента у пројекту и новинарско истраживачког приступа.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1.2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.  Утицај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 изводљивост са становишта: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усклађености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планираних активности са циљевима, очекиваним резултатима и потребама  циљних група;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степена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утицаја пројекта на квалитет информисања циљне групе;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мерљивости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индикатора који омогућавају прећење реализације пројекта;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разрађености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 изводљивости плана реализације пројекта;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степена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развојне и финансијске одрживости пројекта (позитивни ефекти пројекта настављају се након што се оконча подршка).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1.3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.  Капацитети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са становишта: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степена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организационих и управљачких способности предлагача пројекта;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неопходних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ресурса за реализацију пројекта;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lastRenderedPageBreak/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стручних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 професионалних референци предлагача пројекта, које одговарају предложеним циљевима и активностима пројекта.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1.4. Буџет и оправданост трошкова са становишта: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прецизности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и разрађености буџета пројекта, који показује усклађеност предвиђеног трошка са пројектним активностима;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Cambria Math" w:eastAsia="Times New Roman" w:hAnsi="Cambria Math" w:cs="Cambria Math"/>
          <w:color w:val="333333"/>
          <w:sz w:val="20"/>
          <w:szCs w:val="20"/>
          <w:bdr w:val="none" w:sz="0" w:space="0" w:color="auto" w:frame="1"/>
        </w:rPr>
        <w:t>∗</w:t>
      </w:r>
      <w:r w:rsidRPr="00A01E23">
        <w:rPr>
          <w:rFonts w:ascii="Trebuchet MS" w:eastAsia="Times New Roman" w:hAnsi="Trebuchet MS" w:cs="Trebuchet MS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економске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оправданости предлога буџета у односу на циљ и пројектне активности.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2. Мера пружања веће гаранције привржености професионалним и етичким медијским стандардима: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ли су учеснику конкурса изречене мере од стране државних органа,  регулаторних тела или тела саморегулације у последњих годину дана, због кршења 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2. 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доказ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о томе да су након изрицања казни или мера предузете активности које гарантују да се сличан случај неће поновити.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Ближи критеријуми за оцењивање пројеката су: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је пројекат од посебног значаја за информисање становништва на територији општине Бољевац;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2. 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мера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 којој пројекат доприноси очувању српског националног и културног идентитета и jезика;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3. 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актуелност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теме и доступност већем броју корисника;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4. 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мера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 којој пројекат доприноси бољој информисаности особа са инвалидитетом и припадника националних мањина;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5. 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мера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 којој предложени пројекат доприноси унапређењу положаjа и равноправности одређених друштвених група: малолетника, жена, старих, економски и сoцијално угрожених друштвених група, припадника ЛГБТ популације, итд.;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6. 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мера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у којој пројекат доприноси унапређењу медијске писмености и родне равноправности.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IV  РОКОВИ</w:t>
      </w:r>
      <w:proofErr w:type="gramEnd"/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Пријаве на конкурс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подносе се у року од 20 дана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од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данаобjављивања Конкурса у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дневном листу  „Политика“ и на званичном сајту Општине Бољевац: </w:t>
      </w:r>
      <w:hyperlink r:id="rId7" w:history="1">
        <w:r w:rsidRPr="00A01E23">
          <w:rPr>
            <w:rFonts w:ascii="Trebuchet MS" w:eastAsia="Times New Roman" w:hAnsi="Trebuchet MS" w:cs="Times New Roman"/>
            <w:color w:val="444444"/>
            <w:sz w:val="20"/>
            <w:szCs w:val="20"/>
            <w:bdr w:val="none" w:sz="0" w:space="0" w:color="auto" w:frame="1"/>
          </w:rPr>
          <w:t>www.boljevac.org.rs</w:t>
        </w:r>
      </w:hyperlink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Одлука о расподели средстава доноси се најкасније у року од 90 дана од дана закључења конкурса.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V  ДОКУМЕНТАЦИЈA</w:t>
      </w:r>
      <w:proofErr w:type="gramEnd"/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Учесник конкурса је обавезан да достави: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1. Попуњен и оверен пријавни Образац 1 за учешће на конкурсу, у четири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примерка. Образац се преузима са сајта Општине Бољевац </w:t>
      </w:r>
      <w:hyperlink r:id="rId8" w:history="1">
        <w:r w:rsidRPr="00A01E23">
          <w:rPr>
            <w:rFonts w:ascii="Trebuchet MS" w:eastAsia="Times New Roman" w:hAnsi="Trebuchet MS" w:cs="Times New Roman"/>
            <w:color w:val="444444"/>
            <w:sz w:val="20"/>
            <w:szCs w:val="20"/>
            <w:bdr w:val="none" w:sz="0" w:space="0" w:color="auto" w:frame="1"/>
          </w:rPr>
          <w:t>www.boljevac.org.rs</w:t>
        </w:r>
      </w:hyperlink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Образац 1 – пријава: попуњен предлог пројекта и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Образац 1 – табела: попуњен буџет пројекта.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2. Копије следећих докумената у једном примерку: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lastRenderedPageBreak/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Дозвола за емитовање радио и/или ТВ програма издата од Регулаторног тела за електронске медије;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Оверена изjава/сагласност медија (или више њих) да ће програмски садржаj 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продукциjу телевизиjског и радиjског програма);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 Потписана изјава учесника да се не налази у поступку повраћаја државне или de minimis помоћи, као и да нису били у тешкоћама на дан 31.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децембар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2021.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Потписана изјава учесника да пројекат не може реализовати на други начин, без помоћи државе, односно субвенцијом;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o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Визуелни приказ предложеног медијског садржаја (трејлер, примерак новина, џингл и сл).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                              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VI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 ПОЗИВ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ЗА УЧЕШЋЕ У РАДУ КОМИСИЈЕ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Уз предлог за члана комисије, прилаже се и доказ о регистрацији удружења у Регистру удружења.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Позивају се и медијски стручњаци заинтересовани за учешће у раду комисије, да писаним путем предложе чланове комисије, Општинском већу општине Бољевац. Уз предлог за члана комисије потребно је доставити и кратке биографије.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Предлози за чланове комисије достављају се у року од 20дана од дана објављивања Конкурса у дневном листу „Политика “, односно до 28.03.2022.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VII НАЧИН ПРИЈАВЉИВАЊА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Конкурс и Образац за пријаву обjављују се на сајту </w:t>
      </w:r>
      <w:hyperlink r:id="rId9" w:history="1">
        <w:r w:rsidRPr="00A01E23">
          <w:rPr>
            <w:rFonts w:ascii="Trebuchet MS" w:eastAsia="Times New Roman" w:hAnsi="Trebuchet MS" w:cs="Times New Roman"/>
            <w:color w:val="444444"/>
            <w:sz w:val="20"/>
            <w:szCs w:val="20"/>
            <w:bdr w:val="none" w:sz="0" w:space="0" w:color="auto" w:frame="1"/>
          </w:rPr>
          <w:t>www.boljevac.org.rs</w:t>
        </w:r>
      </w:hyperlink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, где су видљиви и доступни све време трајања конкурса.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Пријаве пројеката слати на адресу: Општина Бољевац, ул. Краља Александра 24, 19370 Бољевац, са назнаком „За Конкурс за суфинансирање проjеката производње медијских садржаја из области jавног информисања на територији општине Бољевац у 2022.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години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”, са назнаком „Не отварати пре завршетка конкурса“.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lastRenderedPageBreak/>
        <w:t>Пријаве које стигну ван прописаног рока или на погрешном обрасцу, неће бити разматране.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Решење о расподели средстава по расписаном конкурсу, биће обjављено на интернет страници </w:t>
      </w:r>
      <w:hyperlink r:id="rId10" w:history="1">
        <w:r w:rsidRPr="00A01E23">
          <w:rPr>
            <w:rFonts w:ascii="Trebuchet MS" w:eastAsia="Times New Roman" w:hAnsi="Trebuchet MS" w:cs="Times New Roman"/>
            <w:color w:val="444444"/>
            <w:sz w:val="20"/>
            <w:szCs w:val="20"/>
            <w:bdr w:val="none" w:sz="0" w:space="0" w:color="auto" w:frame="1"/>
          </w:rPr>
          <w:t>www.boljevac.org.rs</w:t>
        </w:r>
      </w:hyperlink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и достављен свим учесницима конкурса у електронској форми. Након доношења Решења, Општина Бољевац закључује уговор о суфинансирању пројеката производње медијских садржаја.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Додатне информациjе се могу добити радним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данима  на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 телефоне: 030 463412 и 463413. Лице за Контакт: Јаворка Гојковић; е- маил адреса:kabinet@opstinaboljevac.rs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VIII ЗАШТИТА ПОДАТАКА О ЛИЧНОСТИ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Сви подаци о личности који буду достављени Општинској управи Општине Бољевац биће обрађивани искључиво у сврху учешћа у јавном позиву, а у складу са Законом о заштити података о личности.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Приступ личним подацима имаће само овлашћена лица Општинске управе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Општинска управа Општине Бољевац чуваће податке о личности у законски предвиђеном року, уз примену одговарајућих техничких, организационих и кадровских мера.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 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Број: 06-15 / 2022-II/7.2                                        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hyperlink r:id="rId11" w:history="1">
        <w:r w:rsidRPr="00A01E23">
          <w:rPr>
            <w:rFonts w:ascii="Trebuchet MS" w:eastAsia="Times New Roman" w:hAnsi="Trebuchet MS" w:cs="Times New Roman"/>
            <w:color w:val="444444"/>
            <w:sz w:val="20"/>
            <w:szCs w:val="20"/>
            <w:bdr w:val="none" w:sz="0" w:space="0" w:color="auto" w:frame="1"/>
          </w:rPr>
          <w:t>Образац пријава</w:t>
        </w:r>
      </w:hyperlink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hyperlink r:id="rId12" w:history="1">
        <w:r w:rsidRPr="00A01E23">
          <w:rPr>
            <w:rFonts w:ascii="Trebuchet MS" w:eastAsia="Times New Roman" w:hAnsi="Trebuchet MS" w:cs="Times New Roman"/>
            <w:color w:val="444444"/>
            <w:sz w:val="20"/>
            <w:szCs w:val="20"/>
            <w:bdr w:val="none" w:sz="0" w:space="0" w:color="auto" w:frame="1"/>
          </w:rPr>
          <w:t>Финансијски део извештај</w:t>
        </w:r>
      </w:hyperlink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hyperlink r:id="rId13" w:history="1">
        <w:r w:rsidRPr="00A01E23">
          <w:rPr>
            <w:rFonts w:ascii="Trebuchet MS" w:eastAsia="Times New Roman" w:hAnsi="Trebuchet MS" w:cs="Times New Roman"/>
            <w:color w:val="444444"/>
            <w:sz w:val="20"/>
            <w:szCs w:val="20"/>
            <w:bdr w:val="none" w:sz="0" w:space="0" w:color="auto" w:frame="1"/>
          </w:rPr>
          <w:t>Образац – Буџет</w:t>
        </w:r>
      </w:hyperlink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    </w:t>
      </w:r>
    </w:p>
    <w:p w:rsidR="00A01E23" w:rsidRPr="00A01E23" w:rsidRDefault="00A01E23" w:rsidP="00A01E23">
      <w:pPr>
        <w:shd w:val="clear" w:color="auto" w:fill="FFFFFF"/>
        <w:spacing w:after="30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Конкурс је објављен у дневном листу Политика дана 7.03.2022.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године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.</w:t>
      </w:r>
    </w:p>
    <w:p w:rsidR="00A01E23" w:rsidRPr="00A01E23" w:rsidRDefault="00A01E23" w:rsidP="00A01E23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Пријаве на конкурс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и Предлози за чланове комисије достављају се у року од 20 дана од дана објављивања Конкурса у дневном листу „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 xml:space="preserve">Политика “, односно до 28.03.2022. </w:t>
      </w:r>
      <w:proofErr w:type="gramStart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године</w:t>
      </w:r>
      <w:proofErr w:type="gramEnd"/>
      <w:r w:rsidRPr="00A01E23">
        <w:rPr>
          <w:rFonts w:ascii="Trebuchet MS" w:eastAsia="Times New Roman" w:hAnsi="Trebuchet MS" w:cs="Times New Roman"/>
          <w:color w:val="333333"/>
          <w:sz w:val="20"/>
          <w:szCs w:val="20"/>
          <w:bdr w:val="none" w:sz="0" w:space="0" w:color="auto" w:frame="1"/>
        </w:rPr>
        <w:t>.</w:t>
      </w:r>
    </w:p>
    <w:p w:rsidR="003318A1" w:rsidRDefault="00A01E23"/>
    <w:sectPr w:rsidR="003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23"/>
    <w:rsid w:val="003D39BD"/>
    <w:rsid w:val="00A01E23"/>
    <w:rsid w:val="00C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2BDD-5AEB-40B8-8DB8-892000E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E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DefaultParagraphFont"/>
    <w:rsid w:val="00A01E23"/>
  </w:style>
  <w:style w:type="character" w:customStyle="1" w:styleId="post-cats">
    <w:name w:val="post-cats"/>
    <w:basedOn w:val="DefaultParagraphFont"/>
    <w:rsid w:val="00A01E23"/>
  </w:style>
  <w:style w:type="character" w:styleId="Hyperlink">
    <w:name w:val="Hyperlink"/>
    <w:basedOn w:val="DefaultParagraphFont"/>
    <w:uiPriority w:val="99"/>
    <w:semiHidden/>
    <w:unhideWhenUsed/>
    <w:rsid w:val="00A01E23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A01E23"/>
  </w:style>
  <w:style w:type="character" w:customStyle="1" w:styleId="post-views">
    <w:name w:val="post-views"/>
    <w:basedOn w:val="DefaultParagraphFont"/>
    <w:rsid w:val="00A01E23"/>
  </w:style>
  <w:style w:type="paragraph" w:customStyle="1" w:styleId="s4">
    <w:name w:val="s4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01E23"/>
  </w:style>
  <w:style w:type="character" w:customStyle="1" w:styleId="bumpedfont15">
    <w:name w:val="bumpedfont15"/>
    <w:basedOn w:val="DefaultParagraphFont"/>
    <w:rsid w:val="00A01E23"/>
  </w:style>
  <w:style w:type="paragraph" w:customStyle="1" w:styleId="s7">
    <w:name w:val="s7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DefaultParagraphFont"/>
    <w:rsid w:val="00A01E23"/>
  </w:style>
  <w:style w:type="character" w:customStyle="1" w:styleId="s21">
    <w:name w:val="s21"/>
    <w:basedOn w:val="DefaultParagraphFont"/>
    <w:rsid w:val="00A01E23"/>
  </w:style>
  <w:style w:type="paragraph" w:customStyle="1" w:styleId="s19">
    <w:name w:val="s19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jevac.org.rs/" TargetMode="External"/><Relationship Id="rId13" Type="http://schemas.openxmlformats.org/officeDocument/2006/relationships/hyperlink" Target="http://www.boljevac.org.rs/wp-content/uploads/2022/03/Obrazac-BUDZET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ljevac.org.rs/" TargetMode="External"/><Relationship Id="rId12" Type="http://schemas.openxmlformats.org/officeDocument/2006/relationships/hyperlink" Target="http://www.boljevac.org.rs/wp-content/uploads/2022/03/finansijski-deo-izvestaja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jevac.org.rs/javni-poziv-za-ucesce-na-konkursu-za-sufinansiranje-projekata-proizvodnje-medijskih-sadrzaja-iz-oblasti-javnog-informisanja-na-teritoriji-opstine-boljevac-u-2022-godini-i-namena-sredstava-i-iznos/" TargetMode="External"/><Relationship Id="rId11" Type="http://schemas.openxmlformats.org/officeDocument/2006/relationships/hyperlink" Target="http://www.boljevac.org.rs/wp-content/uploads/2022/03/Obrazac-PRIJAVA.doc" TargetMode="External"/><Relationship Id="rId5" Type="http://schemas.openxmlformats.org/officeDocument/2006/relationships/hyperlink" Target="http://www.boljevac.org.rs/category/vesti/info-vest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oljevac.org.rs/" TargetMode="External"/><Relationship Id="rId4" Type="http://schemas.openxmlformats.org/officeDocument/2006/relationships/hyperlink" Target="http://www.boljevac.org.rs/category/vesti/" TargetMode="External"/><Relationship Id="rId9" Type="http://schemas.openxmlformats.org/officeDocument/2006/relationships/hyperlink" Target="http://www.boljevac.org.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2022-03-09T09:49:00Z</dcterms:created>
  <dcterms:modified xsi:type="dcterms:W3CDTF">2022-03-09T09:50:00Z</dcterms:modified>
</cp:coreProperties>
</file>